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90C" w:rsidRDefault="00AD47F8" w:rsidP="00AD47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UNDERWODE</w:t>
      </w:r>
      <w:r>
        <w:rPr>
          <w:rFonts w:ascii="Times New Roman" w:hAnsi="Times New Roman" w:cs="Times New Roman"/>
          <w:sz w:val="24"/>
          <w:szCs w:val="24"/>
        </w:rPr>
        <w:t xml:space="preserve">      (d.ca.1485)</w:t>
      </w:r>
    </w:p>
    <w:p w:rsidR="00AD47F8" w:rsidRDefault="00AD47F8" w:rsidP="00AD47F8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Wateringbury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:rsidR="00AD47F8" w:rsidRDefault="00AD47F8" w:rsidP="00AD47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47F8" w:rsidRDefault="00AD47F8" w:rsidP="00AD47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47F8" w:rsidRDefault="00AD47F8" w:rsidP="00AD47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1485</w:t>
      </w:r>
      <w:r>
        <w:rPr>
          <w:rFonts w:ascii="Times New Roman" w:hAnsi="Times New Roman" w:cs="Times New Roman"/>
          <w:sz w:val="24"/>
          <w:szCs w:val="24"/>
        </w:rPr>
        <w:tab/>
        <w:t>Probate of his Will.</w:t>
      </w:r>
    </w:p>
    <w:p w:rsidR="00AD47F8" w:rsidRDefault="00AD47F8" w:rsidP="00AD47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E14ED6">
          <w:rPr>
            <w:rStyle w:val="Hyperlink"/>
            <w:rFonts w:ascii="Times New Roman" w:hAnsi="Times New Roman" w:cs="Times New Roman"/>
            <w:sz w:val="24"/>
            <w:szCs w:val="24"/>
          </w:rPr>
          <w:t>http://www.kentarchaeology.org.uk/Research/Pub/KRV/09/NUV/199U.htm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AD47F8" w:rsidRDefault="00AD47F8" w:rsidP="00AD47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47F8" w:rsidRDefault="00AD47F8" w:rsidP="00AD47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47F8" w:rsidRDefault="00AD47F8" w:rsidP="00AD47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47F8" w:rsidRPr="00FA06DC" w:rsidRDefault="00AD47F8" w:rsidP="00AD47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September 2011</w:t>
      </w:r>
    </w:p>
    <w:p w:rsidR="00AD47F8" w:rsidRPr="00AD47F8" w:rsidRDefault="00AD47F8" w:rsidP="00AD47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AD47F8" w:rsidRPr="00AD47F8" w:rsidSect="004409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47F8"/>
    <w:rsid w:val="0044090C"/>
    <w:rsid w:val="00AD4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9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D47F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D47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entarchaeology.org.uk/Research/Pub/KRV/09/NUV/199U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2011-09-12T17:19:00Z</dcterms:created>
  <dcterms:modified xsi:type="dcterms:W3CDTF">2011-09-12T17:22:00Z</dcterms:modified>
</cp:coreProperties>
</file>